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59" w:rsidRDefault="00155059" w:rsidP="00155059">
      <w:pPr>
        <w:rPr>
          <w:noProof/>
          <w:sz w:val="36"/>
          <w:szCs w:val="36"/>
        </w:rPr>
      </w:pPr>
      <w:r>
        <w:rPr>
          <w:noProof/>
          <w:sz w:val="36"/>
          <w:szCs w:val="36"/>
        </w:rPr>
        <w:drawing>
          <wp:anchor distT="0" distB="0" distL="114300" distR="114300" simplePos="0" relativeHeight="251658240" behindDoc="0" locked="0" layoutInCell="1" allowOverlap="1">
            <wp:simplePos x="0" y="0"/>
            <wp:positionH relativeFrom="column">
              <wp:align>left</wp:align>
            </wp:positionH>
            <wp:positionV relativeFrom="paragraph">
              <wp:posOffset>-53340</wp:posOffset>
            </wp:positionV>
            <wp:extent cx="768350" cy="1155700"/>
            <wp:effectExtent l="19050" t="0" r="0" b="0"/>
            <wp:wrapSquare wrapText="bothSides"/>
            <wp:docPr id="1" name="Immagine 1" descr="C:\Users\Chiara\Desktop\azione cattol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iara\Desktop\azione cattolica.png"/>
                    <pic:cNvPicPr>
                      <a:picLocks noChangeAspect="1" noChangeArrowheads="1"/>
                    </pic:cNvPicPr>
                  </pic:nvPicPr>
                  <pic:blipFill>
                    <a:blip r:embed="rId4"/>
                    <a:srcRect/>
                    <a:stretch>
                      <a:fillRect/>
                    </a:stretch>
                  </pic:blipFill>
                  <pic:spPr bwMode="auto">
                    <a:xfrm>
                      <a:off x="0" y="0"/>
                      <a:ext cx="768350" cy="1155700"/>
                    </a:xfrm>
                    <a:prstGeom prst="rect">
                      <a:avLst/>
                    </a:prstGeom>
                    <a:noFill/>
                    <a:ln w="9525">
                      <a:noFill/>
                      <a:miter lim="800000"/>
                      <a:headEnd/>
                      <a:tailEnd/>
                    </a:ln>
                  </pic:spPr>
                </pic:pic>
              </a:graphicData>
            </a:graphic>
          </wp:anchor>
        </w:drawing>
      </w:r>
    </w:p>
    <w:p w:rsidR="00155059" w:rsidRDefault="00155059" w:rsidP="00155059">
      <w:pPr>
        <w:rPr>
          <w:sz w:val="36"/>
          <w:szCs w:val="36"/>
        </w:rPr>
      </w:pPr>
    </w:p>
    <w:p w:rsidR="00155059" w:rsidRDefault="00155059" w:rsidP="00155059">
      <w:pPr>
        <w:spacing w:after="0" w:line="240" w:lineRule="auto"/>
        <w:rPr>
          <w:rFonts w:cstheme="minorHAnsi"/>
          <w:sz w:val="36"/>
          <w:szCs w:val="36"/>
        </w:rPr>
      </w:pPr>
      <w:r>
        <w:rPr>
          <w:sz w:val="36"/>
          <w:szCs w:val="36"/>
        </w:rPr>
        <w:t xml:space="preserve">                                                                 </w:t>
      </w:r>
      <w:r w:rsidR="001A7023">
        <w:rPr>
          <w:sz w:val="36"/>
          <w:szCs w:val="36"/>
        </w:rPr>
        <w:t xml:space="preserve">                               </w:t>
      </w:r>
      <w:r>
        <w:rPr>
          <w:sz w:val="36"/>
          <w:szCs w:val="36"/>
        </w:rPr>
        <w:t xml:space="preserve"> ALLEGATO 1</w:t>
      </w:r>
      <w:r w:rsidR="001A7023">
        <w:rPr>
          <w:sz w:val="36"/>
          <w:szCs w:val="36"/>
        </w:rPr>
        <w:t>6</w:t>
      </w:r>
      <w:r>
        <w:rPr>
          <w:sz w:val="36"/>
          <w:szCs w:val="36"/>
        </w:rPr>
        <w:t xml:space="preserve"> </w:t>
      </w:r>
      <w:r>
        <w:br w:type="textWrapping" w:clear="all"/>
      </w:r>
    </w:p>
    <w:p w:rsidR="001A7023" w:rsidRPr="001A7023" w:rsidRDefault="001A7023" w:rsidP="001A7023">
      <w:pPr>
        <w:pStyle w:val="NormaleWeb"/>
        <w:spacing w:before="0" w:beforeAutospacing="0" w:after="0" w:afterAutospacing="0"/>
        <w:jc w:val="both"/>
        <w:rPr>
          <w:rFonts w:asciiTheme="minorHAnsi" w:hAnsiTheme="minorHAnsi" w:cstheme="minorHAnsi"/>
          <w:b/>
          <w:sz w:val="36"/>
          <w:szCs w:val="36"/>
        </w:rPr>
      </w:pPr>
      <w:r w:rsidRPr="001A7023">
        <w:rPr>
          <w:rFonts w:asciiTheme="minorHAnsi" w:hAnsiTheme="minorHAnsi" w:cstheme="minorHAnsi"/>
          <w:b/>
          <w:sz w:val="36"/>
          <w:szCs w:val="36"/>
        </w:rPr>
        <w:t xml:space="preserve">La vita nascosta, di </w:t>
      </w:r>
      <w:proofErr w:type="spellStart"/>
      <w:r w:rsidRPr="001A7023">
        <w:rPr>
          <w:rFonts w:asciiTheme="minorHAnsi" w:hAnsiTheme="minorHAnsi" w:cstheme="minorHAnsi"/>
          <w:b/>
          <w:sz w:val="36"/>
          <w:szCs w:val="36"/>
        </w:rPr>
        <w:t>T.Malick</w:t>
      </w:r>
      <w:proofErr w:type="spellEnd"/>
      <w:r w:rsidRPr="001A7023">
        <w:rPr>
          <w:rFonts w:asciiTheme="minorHAnsi" w:hAnsiTheme="minorHAnsi" w:cstheme="minorHAnsi"/>
          <w:b/>
          <w:sz w:val="36"/>
          <w:szCs w:val="36"/>
        </w:rPr>
        <w:t xml:space="preserve">, </w:t>
      </w:r>
      <w:proofErr w:type="spellStart"/>
      <w:r w:rsidRPr="001A7023">
        <w:rPr>
          <w:rFonts w:asciiTheme="minorHAnsi" w:hAnsiTheme="minorHAnsi" w:cstheme="minorHAnsi"/>
          <w:b/>
          <w:sz w:val="36"/>
          <w:szCs w:val="36"/>
        </w:rPr>
        <w:t>Germania-USA</w:t>
      </w:r>
      <w:proofErr w:type="spellEnd"/>
      <w:r w:rsidRPr="001A7023">
        <w:rPr>
          <w:rFonts w:asciiTheme="minorHAnsi" w:hAnsiTheme="minorHAnsi" w:cstheme="minorHAnsi"/>
          <w:b/>
          <w:sz w:val="36"/>
          <w:szCs w:val="36"/>
        </w:rPr>
        <w:t>, 2019</w:t>
      </w:r>
    </w:p>
    <w:p w:rsidR="001A7023" w:rsidRDefault="001A7023" w:rsidP="001A7023">
      <w:pPr>
        <w:pStyle w:val="NormaleWeb"/>
        <w:spacing w:before="0" w:beforeAutospacing="0" w:after="0" w:afterAutospacing="0"/>
        <w:jc w:val="both"/>
        <w:rPr>
          <w:b/>
        </w:rPr>
      </w:pPr>
      <w:r w:rsidRPr="00185AC7">
        <w:rPr>
          <w:b/>
          <w:noProof/>
        </w:rPr>
        <w:drawing>
          <wp:inline distT="0" distB="0" distL="0" distR="0">
            <wp:extent cx="1685925" cy="2496775"/>
            <wp:effectExtent l="19050" t="0" r="9525" b="0"/>
            <wp:docPr id="5" name="Immagine 2" descr="https://www.avvenire.it/c/2020/PublishingImages/2253f3c8b4d04fb09dc6345932c2b172/locand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vvenire.it/c/2020/PublishingImages/2253f3c8b4d04fb09dc6345932c2b172/locandina.jpg"/>
                    <pic:cNvPicPr>
                      <a:picLocks noChangeAspect="1" noChangeArrowheads="1"/>
                    </pic:cNvPicPr>
                  </pic:nvPicPr>
                  <pic:blipFill>
                    <a:blip r:embed="rId5"/>
                    <a:srcRect/>
                    <a:stretch>
                      <a:fillRect/>
                    </a:stretch>
                  </pic:blipFill>
                  <pic:spPr bwMode="auto">
                    <a:xfrm>
                      <a:off x="0" y="0"/>
                      <a:ext cx="1685925" cy="2496775"/>
                    </a:xfrm>
                    <a:prstGeom prst="rect">
                      <a:avLst/>
                    </a:prstGeom>
                    <a:noFill/>
                    <a:ln w="9525">
                      <a:noFill/>
                      <a:miter lim="800000"/>
                      <a:headEnd/>
                      <a:tailEnd/>
                    </a:ln>
                  </pic:spPr>
                </pic:pic>
              </a:graphicData>
            </a:graphic>
          </wp:inline>
        </w:drawing>
      </w:r>
    </w:p>
    <w:p w:rsidR="001A7023" w:rsidRPr="001A7023" w:rsidRDefault="001A7023" w:rsidP="001A7023">
      <w:pPr>
        <w:pStyle w:val="NormaleWeb"/>
        <w:spacing w:before="0" w:beforeAutospacing="0" w:after="0" w:afterAutospacing="0"/>
        <w:jc w:val="both"/>
        <w:rPr>
          <w:rFonts w:asciiTheme="minorHAnsi" w:hAnsiTheme="minorHAnsi" w:cstheme="minorHAnsi"/>
          <w:b/>
          <w:sz w:val="36"/>
          <w:szCs w:val="36"/>
        </w:rPr>
      </w:pPr>
      <w:r w:rsidRPr="006B0FB6">
        <w:rPr>
          <w:rFonts w:asciiTheme="minorHAnsi" w:hAnsiTheme="minorHAnsi" w:cstheme="minorHAnsi"/>
          <w:sz w:val="36"/>
          <w:szCs w:val="36"/>
        </w:rPr>
        <w:t>Può</w:t>
      </w:r>
      <w:r w:rsidRPr="00185AC7">
        <w:t xml:space="preserve"> </w:t>
      </w:r>
      <w:r w:rsidRPr="001A7023">
        <w:rPr>
          <w:rFonts w:asciiTheme="minorHAnsi" w:hAnsiTheme="minorHAnsi" w:cstheme="minorHAnsi"/>
          <w:sz w:val="36"/>
          <w:szCs w:val="36"/>
        </w:rPr>
        <w:t>l’atto di un uomo qualunque influire sul destino del mondo per la sola forza della sua anonima testimonianza? È la domanda che percorre col crescendo di una sinfonia «</w:t>
      </w:r>
      <w:proofErr w:type="spellStart"/>
      <w:r w:rsidRPr="001A7023">
        <w:rPr>
          <w:rFonts w:asciiTheme="minorHAnsi" w:hAnsiTheme="minorHAnsi" w:cstheme="minorHAnsi"/>
          <w:sz w:val="36"/>
          <w:szCs w:val="36"/>
        </w:rPr>
        <w:t>Hidden</w:t>
      </w:r>
      <w:proofErr w:type="spellEnd"/>
      <w:r w:rsidRPr="001A7023">
        <w:rPr>
          <w:rFonts w:asciiTheme="minorHAnsi" w:hAnsiTheme="minorHAnsi" w:cstheme="minorHAnsi"/>
          <w:sz w:val="36"/>
          <w:szCs w:val="36"/>
        </w:rPr>
        <w:t xml:space="preserve"> life» («La vita nascosta»), capolavoro di straordinaria forza cinematografica e spirituale del regista americano </w:t>
      </w:r>
      <w:proofErr w:type="spellStart"/>
      <w:r w:rsidRPr="001A7023">
        <w:rPr>
          <w:rFonts w:asciiTheme="minorHAnsi" w:hAnsiTheme="minorHAnsi" w:cstheme="minorHAnsi"/>
          <w:sz w:val="36"/>
          <w:szCs w:val="36"/>
        </w:rPr>
        <w:t>Terrence</w:t>
      </w:r>
      <w:proofErr w:type="spellEnd"/>
      <w:r w:rsidRPr="001A7023">
        <w:rPr>
          <w:rFonts w:asciiTheme="minorHAnsi" w:hAnsiTheme="minorHAnsi" w:cstheme="minorHAnsi"/>
          <w:sz w:val="36"/>
          <w:szCs w:val="36"/>
        </w:rPr>
        <w:t xml:space="preserve"> </w:t>
      </w:r>
      <w:proofErr w:type="spellStart"/>
      <w:r w:rsidRPr="001A7023">
        <w:rPr>
          <w:rFonts w:asciiTheme="minorHAnsi" w:hAnsiTheme="minorHAnsi" w:cstheme="minorHAnsi"/>
          <w:sz w:val="36"/>
          <w:szCs w:val="36"/>
        </w:rPr>
        <w:t>Malick</w:t>
      </w:r>
      <w:proofErr w:type="spellEnd"/>
      <w:r w:rsidRPr="001A7023">
        <w:rPr>
          <w:rFonts w:asciiTheme="minorHAnsi" w:hAnsiTheme="minorHAnsi" w:cstheme="minorHAnsi"/>
          <w:sz w:val="36"/>
          <w:szCs w:val="36"/>
        </w:rPr>
        <w:t xml:space="preserve">, presentato nell’ormai remoto Festival di Cannes 2019 dove conquistò il premio della giuria. </w:t>
      </w:r>
    </w:p>
    <w:p w:rsidR="001A7023" w:rsidRPr="001A7023" w:rsidRDefault="001A7023" w:rsidP="001A7023">
      <w:pPr>
        <w:spacing w:before="100" w:beforeAutospacing="1" w:after="100" w:afterAutospacing="1" w:line="240" w:lineRule="auto"/>
        <w:jc w:val="both"/>
        <w:rPr>
          <w:rFonts w:eastAsia="Times New Roman" w:cstheme="minorHAnsi"/>
          <w:sz w:val="36"/>
          <w:szCs w:val="36"/>
        </w:rPr>
      </w:pPr>
      <w:proofErr w:type="spellStart"/>
      <w:r w:rsidRPr="001A7023">
        <w:rPr>
          <w:rFonts w:eastAsia="Times New Roman" w:cstheme="minorHAnsi"/>
          <w:sz w:val="36"/>
          <w:szCs w:val="36"/>
        </w:rPr>
        <w:t>Malick</w:t>
      </w:r>
      <w:proofErr w:type="spellEnd"/>
      <w:r w:rsidRPr="001A7023">
        <w:rPr>
          <w:rFonts w:eastAsia="Times New Roman" w:cstheme="minorHAnsi"/>
          <w:sz w:val="36"/>
          <w:szCs w:val="36"/>
        </w:rPr>
        <w:t xml:space="preserve"> ama le strade fuori mano percorse giocando con l’inconfondibile gusto dell’immagine, del montaggio e dei tempi lunghi nell’indugiare dentro i risvolti di una storia. Un registro che può incantare o assopire, secondo le recensioni – non tutte entusiastiche, va detto –, come già accadde nel 2011 per «L’albero della vita». Ora «</w:t>
      </w:r>
      <w:proofErr w:type="spellStart"/>
      <w:r w:rsidRPr="001A7023">
        <w:rPr>
          <w:rFonts w:eastAsia="Times New Roman" w:cstheme="minorHAnsi"/>
          <w:sz w:val="36"/>
          <w:szCs w:val="36"/>
        </w:rPr>
        <w:t>Hidden</w:t>
      </w:r>
      <w:proofErr w:type="spellEnd"/>
      <w:r w:rsidRPr="001A7023">
        <w:rPr>
          <w:rFonts w:eastAsia="Times New Roman" w:cstheme="minorHAnsi"/>
          <w:sz w:val="36"/>
          <w:szCs w:val="36"/>
        </w:rPr>
        <w:t xml:space="preserve"> life» – tre ore abbondanti, ma con assai pochi ristagni del racconto – amplifica l’incanto dell’ambientazione (qui le magnifiche montagne tirolesi, con scorci di una natura che ha le sembianze del Creato, abitata dal costante senso di una presenza) mettendoci di fronte alla storia vera di Franz </w:t>
      </w:r>
      <w:proofErr w:type="spellStart"/>
      <w:r w:rsidRPr="001A7023">
        <w:rPr>
          <w:rFonts w:eastAsia="Times New Roman" w:cstheme="minorHAnsi"/>
          <w:sz w:val="36"/>
          <w:szCs w:val="36"/>
        </w:rPr>
        <w:t>Jägerstätter</w:t>
      </w:r>
      <w:proofErr w:type="spellEnd"/>
      <w:r w:rsidRPr="001A7023">
        <w:rPr>
          <w:rFonts w:eastAsia="Times New Roman" w:cstheme="minorHAnsi"/>
          <w:sz w:val="36"/>
          <w:szCs w:val="36"/>
        </w:rPr>
        <w:t xml:space="preserve"> (1907-1943), umile contadino austriaco che dal villaggio natale di </w:t>
      </w:r>
      <w:proofErr w:type="spellStart"/>
      <w:r w:rsidRPr="001A7023">
        <w:rPr>
          <w:rFonts w:eastAsia="Times New Roman" w:cstheme="minorHAnsi"/>
          <w:sz w:val="36"/>
          <w:szCs w:val="36"/>
        </w:rPr>
        <w:t>Sankt</w:t>
      </w:r>
      <w:proofErr w:type="spellEnd"/>
      <w:r w:rsidRPr="001A7023">
        <w:rPr>
          <w:rFonts w:eastAsia="Times New Roman" w:cstheme="minorHAnsi"/>
          <w:sz w:val="36"/>
          <w:szCs w:val="36"/>
        </w:rPr>
        <w:t xml:space="preserve"> </w:t>
      </w:r>
      <w:proofErr w:type="spellStart"/>
      <w:r w:rsidRPr="001A7023">
        <w:rPr>
          <w:rFonts w:eastAsia="Times New Roman" w:cstheme="minorHAnsi"/>
          <w:sz w:val="36"/>
          <w:szCs w:val="36"/>
        </w:rPr>
        <w:t>Radegund</w:t>
      </w:r>
      <w:proofErr w:type="spellEnd"/>
      <w:r w:rsidRPr="001A7023">
        <w:rPr>
          <w:rFonts w:eastAsia="Times New Roman" w:cstheme="minorHAnsi"/>
          <w:sz w:val="36"/>
          <w:szCs w:val="36"/>
        </w:rPr>
        <w:t xml:space="preserve"> offrì durante l’ascesa trionfante del nazismo una testimonianza di fede inflessibile quanto apparentemente inutile rifiutandosi di cedere all’obbligo di giurare fedeltà al Führer e di combattere per lui. </w:t>
      </w:r>
    </w:p>
    <w:p w:rsidR="001A7023" w:rsidRPr="001A7023" w:rsidRDefault="001A7023" w:rsidP="001A7023">
      <w:pPr>
        <w:spacing w:before="100" w:beforeAutospacing="1" w:after="100" w:afterAutospacing="1" w:line="240" w:lineRule="auto"/>
        <w:jc w:val="both"/>
        <w:rPr>
          <w:rFonts w:eastAsia="Times New Roman" w:cstheme="minorHAnsi"/>
          <w:sz w:val="36"/>
          <w:szCs w:val="36"/>
        </w:rPr>
      </w:pPr>
      <w:r w:rsidRPr="001A7023">
        <w:rPr>
          <w:rFonts w:eastAsia="Times New Roman" w:cstheme="minorHAnsi"/>
          <w:sz w:val="36"/>
          <w:szCs w:val="36"/>
        </w:rPr>
        <w:lastRenderedPageBreak/>
        <w:t xml:space="preserve">Poteva sembrare l’ostinazione di un perdente, destinata a sbiadire nel nulla, e invece siamo ancora qui a chiederci cosa ci dice. Grazie a </w:t>
      </w:r>
      <w:proofErr w:type="spellStart"/>
      <w:r w:rsidRPr="001A7023">
        <w:rPr>
          <w:rFonts w:eastAsia="Times New Roman" w:cstheme="minorHAnsi"/>
          <w:sz w:val="36"/>
          <w:szCs w:val="36"/>
        </w:rPr>
        <w:t>Malick</w:t>
      </w:r>
      <w:proofErr w:type="spellEnd"/>
      <w:r w:rsidRPr="001A7023">
        <w:rPr>
          <w:rFonts w:eastAsia="Times New Roman" w:cstheme="minorHAnsi"/>
          <w:sz w:val="36"/>
          <w:szCs w:val="36"/>
        </w:rPr>
        <w:t xml:space="preserve">, e alla Chiesa che l’ha beatificato (il 26 ottobre 2007 nella cattedrale di Linz). Perché Franz è un santo di quelli che aprono una strada dove pareva impossibile, e lo fanno dando la propria vita come eloquente testimonianza. A impedirgli di piegare il capo come i primi cristiani alla prepotenza pagana dell’imperatore fu la sua fede cristiana, tanto ferma quanto semplice, che lo faceva sentire figlio di Dio e servo di nessuno, per questo libero anche nella feccia della prigionia più disperata. Il suo rifiuto tenace di pronunciare quella che per tutti era solo una </w:t>
      </w:r>
      <w:proofErr w:type="spellStart"/>
      <w:r w:rsidRPr="001A7023">
        <w:rPr>
          <w:rFonts w:eastAsia="Times New Roman" w:cstheme="minorHAnsi"/>
          <w:sz w:val="36"/>
          <w:szCs w:val="36"/>
        </w:rPr>
        <w:t>formuletta</w:t>
      </w:r>
      <w:proofErr w:type="spellEnd"/>
      <w:r w:rsidRPr="001A7023">
        <w:rPr>
          <w:rFonts w:eastAsia="Times New Roman" w:cstheme="minorHAnsi"/>
          <w:sz w:val="36"/>
          <w:szCs w:val="36"/>
        </w:rPr>
        <w:t xml:space="preserve"> retorica quanto vuota recitata pensando ad altro</w:t>
      </w:r>
      <w:r w:rsidR="006B0FB6">
        <w:rPr>
          <w:rFonts w:eastAsia="Times New Roman" w:cstheme="minorHAnsi"/>
          <w:sz w:val="36"/>
          <w:szCs w:val="36"/>
        </w:rPr>
        <w:t>,</w:t>
      </w:r>
      <w:r w:rsidRPr="001A7023">
        <w:rPr>
          <w:rFonts w:eastAsia="Times New Roman" w:cstheme="minorHAnsi"/>
          <w:sz w:val="36"/>
          <w:szCs w:val="36"/>
        </w:rPr>
        <w:t xml:space="preserve"> è una scelta biasimata dai suoi compaesani, che gli costa l’emarginazione sociale e poi la separazione forzata dalla famiglia con l’arresto e una lunga e penosa carcerazione sotto le unghie degli aguzzini nazisti che davanti al mistero di un contadino di montagna hanno la duplice reazione della violenza cieca o della domanda che brucia come la sete: perché lo fa? Perché quel sempliciotto preso dalla stalla e dall’orto non accetta uno dei mille compromessi che via </w:t>
      </w:r>
      <w:proofErr w:type="spellStart"/>
      <w:r w:rsidRPr="001A7023">
        <w:rPr>
          <w:rFonts w:eastAsia="Times New Roman" w:cstheme="minorHAnsi"/>
          <w:sz w:val="36"/>
          <w:szCs w:val="36"/>
        </w:rPr>
        <w:t>via</w:t>
      </w:r>
      <w:proofErr w:type="spellEnd"/>
      <w:r w:rsidRPr="001A7023">
        <w:rPr>
          <w:rFonts w:eastAsia="Times New Roman" w:cstheme="minorHAnsi"/>
          <w:sz w:val="36"/>
          <w:szCs w:val="36"/>
        </w:rPr>
        <w:t xml:space="preserve"> gli vengono offerti – dal sindaco, dalla famiglia, dai carcerieri, persino dal parroco e dal vescovo – per aver salva la vita e poter tornare dalla moglie </w:t>
      </w:r>
      <w:proofErr w:type="spellStart"/>
      <w:r w:rsidRPr="001A7023">
        <w:rPr>
          <w:rFonts w:eastAsia="Times New Roman" w:cstheme="minorHAnsi"/>
          <w:sz w:val="36"/>
          <w:szCs w:val="36"/>
        </w:rPr>
        <w:t>Franziska</w:t>
      </w:r>
      <w:proofErr w:type="spellEnd"/>
      <w:r w:rsidRPr="001A7023">
        <w:rPr>
          <w:rFonts w:eastAsia="Times New Roman" w:cstheme="minorHAnsi"/>
          <w:sz w:val="36"/>
          <w:szCs w:val="36"/>
        </w:rPr>
        <w:t xml:space="preserve"> e dalle loro bambine? Dal campanile del villaggio i tocchi che chiamano alla sosta nel lavoro per una preghiera rimbalzano sulle pareti dei monti e impongono in alcune scene del film la voce di un altro protagonista, che sembra chiedere agli uomini ciò che hanno fatto del loro prossimo. E offre un dialogo a chi non vive da rassegnato.</w:t>
      </w:r>
    </w:p>
    <w:p w:rsidR="001A7023" w:rsidRPr="001A7023" w:rsidRDefault="001A7023" w:rsidP="001A7023">
      <w:pPr>
        <w:spacing w:before="100" w:beforeAutospacing="1" w:after="100" w:afterAutospacing="1" w:line="240" w:lineRule="auto"/>
        <w:jc w:val="both"/>
        <w:rPr>
          <w:rFonts w:eastAsia="Times New Roman" w:cstheme="minorHAnsi"/>
          <w:sz w:val="36"/>
          <w:szCs w:val="36"/>
        </w:rPr>
      </w:pPr>
      <w:r w:rsidRPr="001A7023">
        <w:rPr>
          <w:rFonts w:eastAsia="Times New Roman" w:cstheme="minorHAnsi"/>
          <w:sz w:val="36"/>
          <w:szCs w:val="36"/>
        </w:rPr>
        <w:t xml:space="preserve">Di proporzionale alla fede, che </w:t>
      </w:r>
      <w:proofErr w:type="spellStart"/>
      <w:r w:rsidRPr="001A7023">
        <w:rPr>
          <w:rFonts w:eastAsia="Times New Roman" w:cstheme="minorHAnsi"/>
          <w:sz w:val="36"/>
          <w:szCs w:val="36"/>
        </w:rPr>
        <w:t>Malick</w:t>
      </w:r>
      <w:proofErr w:type="spellEnd"/>
      <w:r w:rsidRPr="001A7023">
        <w:rPr>
          <w:rFonts w:eastAsia="Times New Roman" w:cstheme="minorHAnsi"/>
          <w:sz w:val="36"/>
          <w:szCs w:val="36"/>
        </w:rPr>
        <w:t xml:space="preserve"> va mostrando via </w:t>
      </w:r>
      <w:proofErr w:type="spellStart"/>
      <w:r w:rsidRPr="001A7023">
        <w:rPr>
          <w:rFonts w:eastAsia="Times New Roman" w:cstheme="minorHAnsi"/>
          <w:sz w:val="36"/>
          <w:szCs w:val="36"/>
        </w:rPr>
        <w:t>via</w:t>
      </w:r>
      <w:proofErr w:type="spellEnd"/>
      <w:r w:rsidRPr="001A7023">
        <w:rPr>
          <w:rFonts w:eastAsia="Times New Roman" w:cstheme="minorHAnsi"/>
          <w:sz w:val="36"/>
          <w:szCs w:val="36"/>
        </w:rPr>
        <w:t xml:space="preserve"> come il segreto e la forza di un’anima buona spalancata sul mondo, c’è solo l’amore sconfinato per la sua "</w:t>
      </w:r>
      <w:proofErr w:type="spellStart"/>
      <w:r w:rsidRPr="001A7023">
        <w:rPr>
          <w:rFonts w:eastAsia="Times New Roman" w:cstheme="minorHAnsi"/>
          <w:sz w:val="36"/>
          <w:szCs w:val="36"/>
        </w:rPr>
        <w:t>Fani</w:t>
      </w:r>
      <w:proofErr w:type="spellEnd"/>
      <w:r w:rsidRPr="001A7023">
        <w:rPr>
          <w:rFonts w:eastAsia="Times New Roman" w:cstheme="minorHAnsi"/>
          <w:sz w:val="36"/>
          <w:szCs w:val="36"/>
        </w:rPr>
        <w:t xml:space="preserve">", che subisce la scelta del marito per poi capire che si deve fidare di ciò che lui vede con tanta chiarezza. Il dialogo tra i due dà vita a un epistolario di sorprendente intensità mistica (edito in Italia dal Pozzo di Giacobbe: «Una storia d’amore, di fede e di coraggio»): due contadini umilissimi, due innamorati che si scambiano frasi di bruciante vibrazione umana e divina, un dialogo che giunge al mistero stesso della vita, nascosto a tutti tranne che a Dio e alle loro anime che si sentono afferrate l’una all’altra, per sempre.                                                      </w:t>
      </w:r>
      <w:r w:rsidRPr="001A7023">
        <w:rPr>
          <w:rFonts w:eastAsia="Times New Roman" w:cstheme="minorHAnsi"/>
          <w:color w:val="FFFFFF" w:themeColor="background1"/>
          <w:sz w:val="36"/>
          <w:szCs w:val="36"/>
        </w:rPr>
        <w:t xml:space="preserve"> .</w:t>
      </w:r>
      <w:r w:rsidRPr="001A7023">
        <w:rPr>
          <w:rFonts w:eastAsia="Times New Roman" w:cstheme="minorHAnsi"/>
          <w:sz w:val="36"/>
          <w:szCs w:val="36"/>
        </w:rPr>
        <w:t xml:space="preserve"> </w:t>
      </w:r>
      <w:r w:rsidRPr="001A7023">
        <w:rPr>
          <w:rFonts w:eastAsia="Times New Roman" w:cstheme="minorHAnsi"/>
          <w:sz w:val="36"/>
          <w:szCs w:val="36"/>
        </w:rPr>
        <w:br/>
        <w:t xml:space="preserve">È difficile non trovarsi coinvolti nelle fibre più intime dalla progressione che accanto al dramma incombente su quello che per il regime è un pericoloso </w:t>
      </w:r>
      <w:r w:rsidRPr="001A7023">
        <w:rPr>
          <w:rFonts w:eastAsia="Times New Roman" w:cstheme="minorHAnsi"/>
          <w:sz w:val="36"/>
          <w:szCs w:val="36"/>
        </w:rPr>
        <w:lastRenderedPageBreak/>
        <w:t xml:space="preserve">disertore fa scorrere la contemplazione sempre più trasparente del destino eterno che ci riporta a casa, come al maso tra i pascoli e i boschi in attesa dell’uomo che ha lasciato tutto per restare fedele a Dio. Anche </w:t>
      </w:r>
      <w:proofErr w:type="spellStart"/>
      <w:r w:rsidRPr="001A7023">
        <w:rPr>
          <w:rFonts w:eastAsia="Times New Roman" w:cstheme="minorHAnsi"/>
          <w:sz w:val="36"/>
          <w:szCs w:val="36"/>
        </w:rPr>
        <w:t>Franziska</w:t>
      </w:r>
      <w:proofErr w:type="spellEnd"/>
      <w:r w:rsidRPr="001A7023">
        <w:rPr>
          <w:rFonts w:eastAsia="Times New Roman" w:cstheme="minorHAnsi"/>
          <w:sz w:val="36"/>
          <w:szCs w:val="36"/>
        </w:rPr>
        <w:t xml:space="preserve"> capisce che la morte è definitivamente vinta solo da chi ama sino a quel punto. Raggiungerà in cielo Franz nel 2013, ormai centenaria, sei anni dopo la beatificazione del marito firmata da Benedetto XVI che volle chiamare l’esecuzione del giovane tirolese nel carcere di Brandeburgo il 9 agosto del 1943 con il suo vero nome in lingua cristiana: martirio. </w:t>
      </w:r>
      <w:r w:rsidRPr="001A7023">
        <w:rPr>
          <w:rFonts w:eastAsia="Times New Roman" w:cstheme="minorHAnsi"/>
          <w:sz w:val="36"/>
          <w:szCs w:val="36"/>
        </w:rPr>
        <w:br/>
        <w:t xml:space="preserve">Per giungere sino all’osceno buio della stanza dove il boia dà corso alla condanna a morte, decretata da un giudice che con Franz tenta un disperato colloquio, uscendone invece sconvolto da inaudite parole di pace e libertà, </w:t>
      </w:r>
      <w:proofErr w:type="spellStart"/>
      <w:r w:rsidRPr="001A7023">
        <w:rPr>
          <w:rFonts w:eastAsia="Times New Roman" w:cstheme="minorHAnsi"/>
          <w:sz w:val="36"/>
          <w:szCs w:val="36"/>
        </w:rPr>
        <w:t>Malick</w:t>
      </w:r>
      <w:proofErr w:type="spellEnd"/>
      <w:r w:rsidRPr="001A7023">
        <w:rPr>
          <w:rFonts w:eastAsia="Times New Roman" w:cstheme="minorHAnsi"/>
          <w:sz w:val="36"/>
          <w:szCs w:val="36"/>
        </w:rPr>
        <w:t xml:space="preserve"> non ricorre a nessuna scorciatoia emotiva, non spreca una parola, un’inquadratura. E riesce nel miracolo di consegnarci un film imperdibile per chi crede che la fede abbia senso se diventa una sola cosa con l’esistenza, il respiro, il battito, l’umanissimo amore. </w:t>
      </w:r>
    </w:p>
    <w:p w:rsidR="001A7023" w:rsidRPr="001A7023" w:rsidRDefault="001A7023" w:rsidP="001A7023">
      <w:pPr>
        <w:spacing w:before="100" w:beforeAutospacing="1" w:after="100" w:afterAutospacing="1" w:line="240" w:lineRule="auto"/>
        <w:jc w:val="both"/>
        <w:rPr>
          <w:rFonts w:eastAsia="Times New Roman" w:cstheme="minorHAnsi"/>
          <w:sz w:val="36"/>
          <w:szCs w:val="36"/>
        </w:rPr>
      </w:pPr>
      <w:r w:rsidRPr="001A7023">
        <w:rPr>
          <w:rFonts w:eastAsia="Times New Roman" w:cstheme="minorHAnsi"/>
          <w:sz w:val="36"/>
          <w:szCs w:val="36"/>
        </w:rPr>
        <w:t>Quando l’ultima scena è sfumata, ecco infine le parole di George Eliot sui titoli di coda a consegnarci una luce per i nostri giorni che tanto spesso ci sembrano così vani: «Il bene a venire del mondo dipende in parte da azioni di portata non storica; e se le cose per voi e per me non vanno così male come sarebbe stato possibile lo dobbiamo in parte a tutti quelli che vissero con fede una vita nascosta, e riposano in tombe che nessuno visita».</w:t>
      </w:r>
    </w:p>
    <w:p w:rsidR="00F76183" w:rsidRPr="001A7023" w:rsidRDefault="00F76183" w:rsidP="001A7023">
      <w:pPr>
        <w:spacing w:after="0" w:line="240" w:lineRule="auto"/>
        <w:rPr>
          <w:rFonts w:cstheme="minorHAnsi"/>
          <w:sz w:val="36"/>
          <w:szCs w:val="36"/>
        </w:rPr>
      </w:pPr>
    </w:p>
    <w:p w:rsidR="00155059" w:rsidRPr="001A7023" w:rsidRDefault="00155059" w:rsidP="00F76183">
      <w:pPr>
        <w:spacing w:after="0"/>
        <w:jc w:val="both"/>
        <w:rPr>
          <w:rFonts w:cstheme="minorHAnsi"/>
          <w:sz w:val="36"/>
          <w:szCs w:val="36"/>
        </w:rPr>
      </w:pPr>
    </w:p>
    <w:sectPr w:rsidR="00155059" w:rsidRPr="001A7023" w:rsidSect="00155059">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283"/>
  <w:characterSpacingControl w:val="doNotCompress"/>
  <w:compat>
    <w:useFELayout/>
  </w:compat>
  <w:rsids>
    <w:rsidRoot w:val="00155059"/>
    <w:rsid w:val="00155059"/>
    <w:rsid w:val="001A7023"/>
    <w:rsid w:val="005D7932"/>
    <w:rsid w:val="00696D9C"/>
    <w:rsid w:val="006B0FB6"/>
    <w:rsid w:val="00834F00"/>
    <w:rsid w:val="009B5118"/>
    <w:rsid w:val="00B22EBF"/>
    <w:rsid w:val="00BF5B09"/>
    <w:rsid w:val="00C2082B"/>
    <w:rsid w:val="00E57A69"/>
    <w:rsid w:val="00F7618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208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5505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5059"/>
    <w:rPr>
      <w:rFonts w:ascii="Tahoma" w:hAnsi="Tahoma" w:cs="Tahoma"/>
      <w:sz w:val="16"/>
      <w:szCs w:val="16"/>
    </w:rPr>
  </w:style>
  <w:style w:type="paragraph" w:styleId="NormaleWeb">
    <w:name w:val="Normal (Web)"/>
    <w:basedOn w:val="Normale"/>
    <w:uiPriority w:val="99"/>
    <w:unhideWhenUsed/>
    <w:rsid w:val="001A702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851</Words>
  <Characters>4857</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7</cp:revision>
  <dcterms:created xsi:type="dcterms:W3CDTF">2022-08-29T17:40:00Z</dcterms:created>
  <dcterms:modified xsi:type="dcterms:W3CDTF">2022-09-04T16:22:00Z</dcterms:modified>
</cp:coreProperties>
</file>